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96914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上海开放大学各学院、分校“一平台”报考操作基本流程</w:t>
      </w:r>
    </w:p>
    <w:p w14:paraId="43034599">
      <w:pPr>
        <w:jc w:val="center"/>
      </w:pPr>
    </w:p>
    <w:p w14:paraId="4B16A4CE">
      <w:pPr>
        <w:pStyle w:val="7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考点申报及考点信息更正（</w:t>
      </w:r>
      <w:r>
        <w:rPr>
          <w:rFonts w:hint="eastAsia"/>
          <w:color w:val="FF0000"/>
        </w:rPr>
        <w:t>考点操作</w:t>
      </w:r>
      <w:r>
        <w:rPr>
          <w:rFonts w:hint="eastAsia"/>
        </w:rPr>
        <w:t>）</w:t>
      </w:r>
    </w:p>
    <w:p w14:paraId="6A2634D8">
      <w:pPr>
        <w:ind w:firstLine="400" w:firstLineChars="200"/>
        <w:jc w:val="left"/>
      </w:pPr>
      <w:r>
        <w:rPr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707390</wp:posOffset>
            </wp:positionV>
            <wp:extent cx="6443345" cy="3002280"/>
            <wp:effectExtent l="0" t="0" r="0" b="762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43345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通过“考务管理——考点管理——考点维护”，各考点根据国家开放大学考点申报工作的通知，在指定时间范围内进行申报或更正考点信息。各考点使用考点管理员账号于考前做好主考、监考教师等设置操作，并提醒监考教师安装</w:t>
      </w:r>
      <w:r>
        <w:t>“</w:t>
      </w:r>
      <w:r>
        <w:rPr>
          <w:rFonts w:hint="eastAsia"/>
        </w:rPr>
        <w:t>身份核验</w:t>
      </w:r>
      <w:r>
        <w:t xml:space="preserve"> APP”</w:t>
      </w:r>
      <w:r>
        <w:rPr>
          <w:rFonts w:hint="eastAsia"/>
        </w:rPr>
        <w:t>。</w:t>
      </w:r>
    </w:p>
    <w:p w14:paraId="1E372125">
      <w:pPr>
        <w:ind w:firstLine="420" w:firstLineChars="200"/>
        <w:jc w:val="left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3337560</wp:posOffset>
            </wp:positionV>
            <wp:extent cx="6438900" cy="2717800"/>
            <wp:effectExtent l="0" t="0" r="0" b="635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271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CE05CE">
      <w:pPr>
        <w:ind w:firstLine="420" w:firstLineChars="200"/>
        <w:jc w:val="left"/>
      </w:pPr>
    </w:p>
    <w:p w14:paraId="3ED1AC09">
      <w:pPr>
        <w:pStyle w:val="7"/>
        <w:numPr>
          <w:ilvl w:val="0"/>
          <w:numId w:val="1"/>
        </w:numPr>
        <w:ind w:firstLineChars="0"/>
        <w:jc w:val="left"/>
        <w:rPr>
          <w:b/>
        </w:rPr>
      </w:pPr>
      <w:r>
        <w:rPr>
          <w:b/>
        </w:rPr>
        <w:t>管理班对应考点</w:t>
      </w:r>
      <w:r>
        <w:rPr>
          <w:rFonts w:hint="eastAsia"/>
          <w:b/>
        </w:rPr>
        <w:t>（</w:t>
      </w:r>
      <w:r>
        <w:rPr>
          <w:rFonts w:hint="eastAsia"/>
          <w:b/>
          <w:color w:val="FF0000"/>
        </w:rPr>
        <w:t>分校操作、考点操作</w:t>
      </w:r>
      <w:r>
        <w:rPr>
          <w:rFonts w:hint="eastAsia"/>
          <w:b/>
        </w:rPr>
        <w:t>）</w:t>
      </w:r>
    </w:p>
    <w:p w14:paraId="75E70514">
      <w:pPr>
        <w:ind w:firstLine="420" w:firstLineChars="200"/>
        <w:jc w:val="left"/>
      </w:pPr>
      <w:r>
        <w:rPr>
          <w:rFonts w:hint="eastAsia"/>
        </w:rPr>
        <w:t>1、学院、分校操作，即学习中心层</w:t>
      </w:r>
    </w:p>
    <w:p w14:paraId="175BA41F">
      <w:pPr>
        <w:ind w:firstLine="420" w:firstLineChars="200"/>
      </w:pPr>
      <w:r>
        <w:rPr>
          <w:rFonts w:hint="eastAsia"/>
        </w:rPr>
        <w:t>各学院、分校使用学习中心层账号进行班级对应考点管理，可通过 “考务管理——考点管理——管理班对应考点”操作，将本分校下的班级信息与所去笔试考点进行绑定，只有班级绑定考点后，才可进行报考操作，这是</w:t>
      </w:r>
      <w:r>
        <w:rPr>
          <w:rFonts w:hint="eastAsia"/>
          <w:color w:val="FF0000"/>
        </w:rPr>
        <w:t>报考的前提条件</w:t>
      </w:r>
      <w:r>
        <w:rPr>
          <w:rFonts w:hint="eastAsia"/>
        </w:rPr>
        <w:t>。</w:t>
      </w:r>
    </w:p>
    <w:p w14:paraId="26B0185E">
      <w:pPr>
        <w:ind w:firstLine="420" w:firstLineChars="200"/>
      </w:pPr>
      <w:r>
        <w:rPr>
          <w:rFonts w:hint="eastAsia"/>
        </w:rPr>
        <w:t>如所去的考点未显示，可能是跨分校考试，请与考试管理科及时联系。</w:t>
      </w:r>
      <w:r>
        <w:rPr>
          <w:rFonts w:hint="eastAsia"/>
          <w:b/>
        </w:rPr>
        <w:t>2</w:t>
      </w:r>
      <w:r>
        <w:rPr>
          <w:b/>
        </w:rPr>
        <w:t>024</w:t>
      </w:r>
      <w:r>
        <w:rPr>
          <w:rFonts w:hint="eastAsia"/>
          <w:b/>
        </w:rPr>
        <w:t>春季学期国开考点与分校对应表见文末附表。</w:t>
      </w:r>
    </w:p>
    <w:p w14:paraId="4D932657">
      <w:pPr>
        <w:ind w:firstLine="420" w:firstLineChars="200"/>
        <w:jc w:val="left"/>
        <w:rPr>
          <w:color w:val="FF0000"/>
        </w:rPr>
      </w:pPr>
    </w:p>
    <w:p w14:paraId="5476176B">
      <w:pPr>
        <w:ind w:firstLine="420" w:firstLineChars="200"/>
        <w:jc w:val="left"/>
        <w:rPr>
          <w:b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290195</wp:posOffset>
            </wp:positionV>
            <wp:extent cx="6700520" cy="2152650"/>
            <wp:effectExtent l="0" t="0" r="5080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052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FF0000"/>
        </w:rPr>
        <w:t>请确保本学习中心下的所有参加考试的班级都对应好</w:t>
      </w:r>
      <w:r>
        <w:rPr>
          <w:rFonts w:hint="eastAsia"/>
          <w:color w:val="FF0000"/>
          <w:em w:val="dot"/>
        </w:rPr>
        <w:t>笔试及网考考点</w:t>
      </w:r>
      <w:r>
        <w:rPr>
          <w:rFonts w:hint="eastAsia"/>
        </w:rPr>
        <w:t>。</w:t>
      </w:r>
    </w:p>
    <w:p w14:paraId="1960F14E">
      <w:pPr>
        <w:ind w:firstLine="420" w:firstLineChars="200"/>
        <w:jc w:val="left"/>
      </w:pPr>
    </w:p>
    <w:p w14:paraId="61721010">
      <w:pPr>
        <w:pStyle w:val="7"/>
        <w:ind w:left="432" w:firstLine="0" w:firstLineChars="0"/>
        <w:jc w:val="left"/>
      </w:pPr>
      <w:r>
        <w:rPr>
          <w:rFonts w:hint="eastAsia"/>
        </w:rPr>
        <w:t>如所有班级所去的考点相同，可按</w:t>
      </w:r>
      <w:r>
        <w:rPr>
          <w:rFonts w:hint="eastAsia"/>
          <w:b/>
        </w:rPr>
        <w:t>学习中心（下拉列表选择第一个教学点）</w:t>
      </w:r>
      <w:r>
        <w:rPr>
          <w:rFonts w:hint="eastAsia"/>
        </w:rPr>
        <w:t>进行批量设置</w:t>
      </w:r>
    </w:p>
    <w:p w14:paraId="4B7C64F0">
      <w:pPr>
        <w:pStyle w:val="7"/>
        <w:ind w:left="432" w:firstLine="0" w:firstLineChars="0"/>
        <w:jc w:val="left"/>
        <w:rPr>
          <w:b/>
          <w:color w:val="FF0000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247015</wp:posOffset>
            </wp:positionV>
            <wp:extent cx="6443345" cy="2717800"/>
            <wp:effectExtent l="0" t="0" r="0" b="6350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3345" cy="271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5545CA">
      <w:pPr>
        <w:pStyle w:val="7"/>
        <w:ind w:left="432" w:firstLine="0" w:firstLineChars="0"/>
        <w:jc w:val="left"/>
        <w:rPr>
          <w:b/>
          <w:color w:val="FF0000"/>
        </w:rPr>
      </w:pPr>
      <w:r>
        <w:rPr>
          <w:rFonts w:hint="eastAsia"/>
          <w:b/>
          <w:color w:val="FF0000"/>
        </w:rPr>
        <w:t>纸考考点和网考考点皆须进行选择，否则后期无法编排考场。</w:t>
      </w:r>
    </w:p>
    <w:p w14:paraId="01678A19">
      <w:pPr>
        <w:pStyle w:val="7"/>
        <w:ind w:left="432" w:firstLine="0" w:firstLineChars="0"/>
        <w:jc w:val="left"/>
        <w:rPr>
          <w:b/>
          <w:color w:val="FF0000"/>
        </w:rPr>
      </w:pPr>
      <w:r>
        <w:rPr>
          <w:rFonts w:hint="eastAsia"/>
          <w:b/>
          <w:color w:val="FF0000"/>
        </w:rPr>
        <w:t>如班级所去纸考考点和网考考点不相同，须分别进行选择，请务必谨慎操作。</w:t>
      </w:r>
    </w:p>
    <w:p w14:paraId="2C9EC45A">
      <w:pPr>
        <w:ind w:firstLine="420" w:firstLineChars="200"/>
        <w:jc w:val="left"/>
      </w:pPr>
    </w:p>
    <w:p w14:paraId="62393D11">
      <w:pPr>
        <w:ind w:firstLine="420" w:firstLineChars="200"/>
        <w:jc w:val="left"/>
      </w:pPr>
      <w:r>
        <w:rPr>
          <w:rFonts w:hint="eastAsia"/>
        </w:rPr>
        <w:t>2、考点层操作</w:t>
      </w:r>
    </w:p>
    <w:p w14:paraId="32C87F4C">
      <w:pPr>
        <w:ind w:firstLine="420" w:firstLineChars="200"/>
        <w:jc w:val="left"/>
      </w:pPr>
      <w:r>
        <w:rPr>
          <w:rFonts w:hint="eastAsia"/>
        </w:rPr>
        <w:t>各考点可通过“考务管理——考点管理——考点维护”中的“查看绑定班级“，导出查看已绑定到本考点的所有班级数据。</w:t>
      </w:r>
    </w:p>
    <w:p w14:paraId="3DA1B5D3">
      <w:pPr>
        <w:ind w:firstLine="420" w:firstLineChars="200"/>
        <w:jc w:val="left"/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82550</wp:posOffset>
            </wp:positionV>
            <wp:extent cx="6205220" cy="1485900"/>
            <wp:effectExtent l="0" t="0" r="508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9440" cy="1486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D120A1">
      <w:pPr>
        <w:pStyle w:val="7"/>
        <w:ind w:left="432" w:firstLine="0" w:firstLineChars="0"/>
        <w:jc w:val="left"/>
      </w:pPr>
    </w:p>
    <w:p w14:paraId="4DC67E3B">
      <w:pPr>
        <w:pStyle w:val="7"/>
        <w:ind w:left="432" w:firstLine="0" w:firstLineChars="0"/>
        <w:jc w:val="left"/>
      </w:pPr>
    </w:p>
    <w:p w14:paraId="0E6DD511">
      <w:pPr>
        <w:pStyle w:val="7"/>
        <w:ind w:left="432" w:firstLine="0" w:firstLineChars="0"/>
        <w:jc w:val="left"/>
      </w:pPr>
    </w:p>
    <w:p w14:paraId="75BC3FAE">
      <w:pPr>
        <w:pStyle w:val="7"/>
        <w:ind w:left="432" w:firstLine="0" w:firstLineChars="0"/>
        <w:jc w:val="left"/>
      </w:pPr>
    </w:p>
    <w:p w14:paraId="2D67E30C">
      <w:pPr>
        <w:pStyle w:val="7"/>
        <w:ind w:left="432" w:firstLine="0" w:firstLineChars="0"/>
        <w:jc w:val="left"/>
      </w:pPr>
    </w:p>
    <w:p w14:paraId="6365A65F">
      <w:pPr>
        <w:pStyle w:val="7"/>
        <w:ind w:left="432" w:firstLine="0" w:firstLineChars="0"/>
        <w:jc w:val="left"/>
      </w:pPr>
    </w:p>
    <w:p w14:paraId="7F1C2F73">
      <w:pPr>
        <w:pStyle w:val="7"/>
        <w:ind w:left="432" w:firstLine="0" w:firstLineChars="0"/>
        <w:jc w:val="left"/>
      </w:pPr>
    </w:p>
    <w:p w14:paraId="27758C07">
      <w:pPr>
        <w:pStyle w:val="7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报考</w:t>
      </w:r>
    </w:p>
    <w:p w14:paraId="5BA39338">
      <w:pPr>
        <w:pStyle w:val="7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查看考试计划</w:t>
      </w:r>
    </w:p>
    <w:p w14:paraId="701843F3">
      <w:pPr>
        <w:ind w:firstLine="420" w:firstLineChars="200"/>
        <w:jc w:val="left"/>
      </w:pPr>
      <w:r>
        <w:rPr>
          <w:rFonts w:hint="eastAsia"/>
        </w:rPr>
        <w:t>当总校下发考试计划后，各学院、分校可通过“考务管理——考试计划——考点计划维护”查看考试计划。</w:t>
      </w:r>
    </w:p>
    <w:p w14:paraId="00981A03">
      <w:pPr>
        <w:pStyle w:val="7"/>
        <w:numPr>
          <w:ilvl w:val="0"/>
          <w:numId w:val="2"/>
        </w:numPr>
        <w:ind w:firstLineChars="0"/>
        <w:jc w:val="left"/>
      </w:pPr>
      <w:r>
        <w:t>组织考生报考（学习中心管理员）</w:t>
      </w:r>
    </w:p>
    <w:p w14:paraId="6711EA6A">
      <w:pPr>
        <w:tabs>
          <w:tab w:val="left" w:pos="480"/>
        </w:tabs>
        <w:kinsoku w:val="0"/>
        <w:overflowPunct w:val="0"/>
        <w:autoSpaceDE w:val="0"/>
        <w:autoSpaceDN w:val="0"/>
        <w:adjustRightInd w:val="0"/>
        <w:ind w:firstLine="416" w:firstLineChars="200"/>
        <w:jc w:val="left"/>
      </w:pPr>
      <w:r>
        <w:rPr>
          <w:rFonts w:hint="eastAsia"/>
          <w:spacing w:val="-1"/>
        </w:rPr>
        <w:t>1）</w:t>
      </w:r>
      <w:r>
        <w:rPr>
          <w:rFonts w:hint="eastAsia"/>
        </w:rPr>
        <w:t>选课转报考：可以选择为整个课程下所有的考生进行报考；也可以同过点击课程右侧的“详情”按钮，为部分考生进行报考。另外选课转报考分别支持根据课程和班级进行报考。</w:t>
      </w:r>
    </w:p>
    <w:p w14:paraId="1FCDBB17">
      <w:pPr>
        <w:pStyle w:val="2"/>
        <w:kinsoku w:val="0"/>
        <w:overflowPunct w:val="0"/>
        <w:ind w:left="120" w:firstLine="400"/>
        <w:rPr>
          <w:sz w:val="20"/>
          <w:szCs w:val="20"/>
        </w:rPr>
      </w:pPr>
      <w:r>
        <w:rPr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284480</wp:posOffset>
            </wp:positionV>
            <wp:extent cx="6452870" cy="2222500"/>
            <wp:effectExtent l="0" t="0" r="5080" b="6350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287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09D0D7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1C36B7B0">
      <w:pPr>
        <w:pStyle w:val="7"/>
        <w:tabs>
          <w:tab w:val="left" w:pos="480"/>
        </w:tabs>
        <w:kinsoku w:val="0"/>
        <w:overflowPunct w:val="0"/>
        <w:autoSpaceDE w:val="0"/>
        <w:autoSpaceDN w:val="0"/>
        <w:adjustRightInd w:val="0"/>
        <w:jc w:val="left"/>
      </w:pPr>
      <w:r>
        <w:t>2</w:t>
      </w:r>
      <w:r>
        <w:rPr>
          <w:rFonts w:hint="eastAsia"/>
        </w:rPr>
        <w:t>）个人报考：获取在籍学生历史选课数据进行报考。</w:t>
      </w:r>
    </w:p>
    <w:p w14:paraId="114EB906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2"/>
        </w:rPr>
        <w:t>分校可以通过班级名称、代码或者考生信息【学号或姓名】进行搜索。点击规则内报考对考生进行报考</w:t>
      </w:r>
    </w:p>
    <w:p w14:paraId="58D1E3A6">
      <w:pPr>
        <w:pStyle w:val="2"/>
        <w:kinsoku w:val="0"/>
        <w:overflowPunct w:val="0"/>
        <w:ind w:firstLine="40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rPr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45085</wp:posOffset>
            </wp:positionV>
            <wp:extent cx="6124575" cy="2112010"/>
            <wp:effectExtent l="0" t="0" r="9525" b="254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5900" cy="2112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448F96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478A835C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7287811B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01CCB83C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1947D5F9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59163834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3550DA22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22AE6D2E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04FECE60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7C05E889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3DF52F9A">
      <w:pPr>
        <w:pStyle w:val="2"/>
        <w:kinsoku w:val="0"/>
        <w:overflowPunct w:val="0"/>
        <w:ind w:firstLine="420" w:firstLineChars="200"/>
        <w:rPr>
          <w:rFonts w:asciiTheme="minorHAnsi" w:hAnsiTheme="minorHAnsi" w:eastAsiaTheme="minorEastAsia" w:cstheme="minorBidi"/>
          <w:kern w:val="2"/>
          <w:sz w:val="21"/>
          <w:szCs w:val="22"/>
        </w:rPr>
      </w:pPr>
    </w:p>
    <w:p w14:paraId="28A9ECDF">
      <w:pPr>
        <w:tabs>
          <w:tab w:val="left" w:pos="480"/>
        </w:tabs>
        <w:kinsoku w:val="0"/>
        <w:overflowPunct w:val="0"/>
        <w:autoSpaceDE w:val="0"/>
        <w:autoSpaceDN w:val="0"/>
        <w:adjustRightInd w:val="0"/>
        <w:ind w:firstLine="420" w:firstLineChars="200"/>
      </w:pPr>
      <w:r>
        <w:t>3</w:t>
      </w:r>
      <w:r>
        <w:rPr>
          <w:rFonts w:hint="eastAsia"/>
        </w:rPr>
        <w:t>）</w:t>
      </w:r>
      <w:r>
        <w:rPr>
          <w:rFonts w:hint="eastAsia"/>
          <w:spacing w:val="-1"/>
        </w:rPr>
        <w:t>设置试卷号：针对一个课程存在多个试卷号的情况，这里需要为考生指定一</w:t>
      </w:r>
      <w:r>
        <w:rPr>
          <w:rFonts w:hint="eastAsia"/>
        </w:rPr>
        <w:t>个课程的试卷号。</w:t>
      </w:r>
    </w:p>
    <w:p w14:paraId="0BA4D4AE">
      <w:pPr>
        <w:tabs>
          <w:tab w:val="left" w:pos="480"/>
        </w:tabs>
        <w:kinsoku w:val="0"/>
        <w:overflowPunct w:val="0"/>
        <w:autoSpaceDE w:val="0"/>
        <w:autoSpaceDN w:val="0"/>
        <w:adjustRightInd w:val="0"/>
        <w:ind w:firstLine="400" w:firstLineChars="200"/>
        <w:rPr>
          <w:color w:val="000000"/>
        </w:rPr>
      </w:pPr>
      <w:r>
        <w:rPr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222250</wp:posOffset>
            </wp:positionV>
            <wp:extent cx="5972175" cy="1841500"/>
            <wp:effectExtent l="0" t="0" r="9525" b="635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FF0000"/>
        </w:rPr>
        <w:t>批量设置表示对所选择的各行进行整体设置；全部设置表示对所有行进行统一设置。</w:t>
      </w:r>
    </w:p>
    <w:p w14:paraId="2A57B0AB">
      <w:pPr>
        <w:pStyle w:val="2"/>
        <w:kinsoku w:val="0"/>
        <w:overflowPunct w:val="0"/>
        <w:ind w:left="120" w:firstLine="400"/>
        <w:rPr>
          <w:sz w:val="23"/>
          <w:szCs w:val="23"/>
        </w:rPr>
      </w:pPr>
    </w:p>
    <w:p w14:paraId="030014B9">
      <w:pPr>
        <w:ind w:firstLine="420" w:firstLineChars="200"/>
        <w:jc w:val="left"/>
      </w:pPr>
      <w:r>
        <w:t>4</w:t>
      </w:r>
      <w:r>
        <w:rPr>
          <w:rFonts w:hint="eastAsia"/>
        </w:rPr>
        <w:t>）报考确认</w:t>
      </w:r>
    </w:p>
    <w:p w14:paraId="65975FD3">
      <w:pPr>
        <w:ind w:firstLine="420" w:firstLineChars="200"/>
        <w:jc w:val="left"/>
      </w:pPr>
      <w:r>
        <w:rPr>
          <w:rFonts w:hint="eastAsia"/>
        </w:rPr>
        <w:t>考生进行报考和设置完成试卷号之后就可以进行报考确认。选择对应考试计划名称，可以进行批量确认报考。</w:t>
      </w:r>
    </w:p>
    <w:p w14:paraId="0F325856">
      <w:pPr>
        <w:ind w:firstLine="420" w:firstLineChars="200"/>
        <w:jc w:val="left"/>
        <w:rPr>
          <w:b/>
        </w:rPr>
      </w:pPr>
      <w:r>
        <w:rPr>
          <w:rFonts w:hint="eastAsia"/>
          <w:b/>
          <w:color w:val="FF0000"/>
        </w:rPr>
        <w:t>请注意报考确认前必须核对报考的试卷号（后4位数字）是否在本学期开考科目表中，并核对课程名称是否一致。</w:t>
      </w:r>
    </w:p>
    <w:p w14:paraId="152A0535">
      <w:pPr>
        <w:ind w:firstLine="420" w:firstLineChars="200"/>
        <w:jc w:val="left"/>
        <w:rPr>
          <w:b/>
        </w:rPr>
      </w:pPr>
    </w:p>
    <w:p w14:paraId="00626978">
      <w:pPr>
        <w:ind w:firstLine="420" w:firstLineChars="200"/>
        <w:jc w:val="left"/>
        <w:rPr>
          <w:b/>
        </w:rPr>
      </w:pPr>
    </w:p>
    <w:p w14:paraId="270ACD37">
      <w:pPr>
        <w:pStyle w:val="7"/>
        <w:ind w:firstLine="0" w:firstLineChars="0"/>
        <w:jc w:val="left"/>
        <w:rPr>
          <w:b/>
          <w:sz w:val="24"/>
        </w:rPr>
      </w:pPr>
    </w:p>
    <w:p w14:paraId="187AF20C">
      <w:pPr>
        <w:pStyle w:val="7"/>
        <w:ind w:firstLine="480"/>
        <w:jc w:val="left"/>
        <w:rPr>
          <w:b/>
        </w:rPr>
      </w:pPr>
      <w:r>
        <w:rPr>
          <w:rFonts w:hint="eastAsia"/>
          <w:b/>
          <w:sz w:val="24"/>
        </w:rPr>
        <w:t>附件：</w:t>
      </w:r>
      <w:r>
        <w:rPr>
          <w:b/>
          <w:sz w:val="24"/>
        </w:rPr>
        <w:t>2024</w:t>
      </w:r>
      <w:r>
        <w:rPr>
          <w:rFonts w:hint="eastAsia"/>
          <w:b/>
          <w:sz w:val="24"/>
        </w:rPr>
        <w:t>年秋</w:t>
      </w:r>
      <w:r>
        <w:rPr>
          <w:b/>
          <w:sz w:val="24"/>
        </w:rPr>
        <w:t>季学期</w:t>
      </w:r>
      <w:r>
        <w:rPr>
          <w:rFonts w:hint="eastAsia"/>
          <w:b/>
          <w:sz w:val="24"/>
        </w:rPr>
        <w:t>国开期末考试考点对应分校表</w:t>
      </w:r>
    </w:p>
    <w:tbl>
      <w:tblPr>
        <w:tblStyle w:val="5"/>
        <w:tblW w:w="835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4"/>
        <w:gridCol w:w="1522"/>
        <w:gridCol w:w="4999"/>
      </w:tblGrid>
      <w:tr w14:paraId="2C7A8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FB2906"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FA42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考点代码</w:t>
            </w:r>
          </w:p>
        </w:tc>
        <w:tc>
          <w:tcPr>
            <w:tcW w:w="15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606FB7"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考点名称</w:t>
            </w:r>
          </w:p>
        </w:tc>
        <w:tc>
          <w:tcPr>
            <w:tcW w:w="49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CCC52F"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24秋国开期末考试考生所属学习中心</w:t>
            </w:r>
          </w:p>
        </w:tc>
      </w:tr>
      <w:tr w14:paraId="2525E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EEF7D"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AE19C"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6046"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9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07515"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7CBE7E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94F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43B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310000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201DD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上海开放大学中原考点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F8D6B9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公管学院、经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管学院、人文学院、新知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、宝山、崇明</w:t>
            </w:r>
          </w:p>
        </w:tc>
      </w:tr>
      <w:tr w14:paraId="14D55C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4A68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15128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3100201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3236498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闵行二分校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299B6B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闵二（闵行分校景谷校区）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、闵一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（闵行分校莘北校区）</w:t>
            </w:r>
          </w:p>
        </w:tc>
      </w:tr>
      <w:tr w14:paraId="6E083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EE7B8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3089F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3100401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D554EA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浦东东校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580EB1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浦东东校、浦农</w:t>
            </w:r>
          </w:p>
        </w:tc>
      </w:tr>
      <w:tr w14:paraId="3E67A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E2AA7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C2EBF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3100601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5777C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金山分校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407D71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金山</w:t>
            </w:r>
          </w:p>
        </w:tc>
      </w:tr>
      <w:tr w14:paraId="3992D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9139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8BDBA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3100701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CE040A4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松江分校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7266B6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松江</w:t>
            </w:r>
          </w:p>
        </w:tc>
      </w:tr>
      <w:tr w14:paraId="1B92C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F89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C3320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3100801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B800A5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浦东南校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F2A93B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浦东南校</w:t>
            </w:r>
          </w:p>
        </w:tc>
      </w:tr>
      <w:tr w14:paraId="11E18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42BA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EEF4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3100901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7EB7FF7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奉贤分校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367F0D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奉贤</w:t>
            </w:r>
          </w:p>
        </w:tc>
      </w:tr>
      <w:tr w14:paraId="38275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1BFA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20A5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3101001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6BDA58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青浦分校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71BF73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青浦</w:t>
            </w:r>
          </w:p>
        </w:tc>
      </w:tr>
      <w:tr w14:paraId="6306F6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09D16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C10A4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3101201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F24E2A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嘉定分校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7D0CC7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嘉定</w:t>
            </w:r>
          </w:p>
        </w:tc>
      </w:tr>
      <w:tr w14:paraId="4F81E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C56A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B6531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3102501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2FF04E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新世界集团分校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CAE5B9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新世界</w:t>
            </w:r>
          </w:p>
        </w:tc>
      </w:tr>
      <w:tr w14:paraId="62C90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9185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E36B9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3102601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CF3748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长宁分校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629E22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航空运输学院</w:t>
            </w:r>
          </w:p>
        </w:tc>
      </w:tr>
      <w:tr w14:paraId="201F9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8081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CFDE8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3103001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80C74E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杨浦分校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2B467E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杨浦、光明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</w:rPr>
              <w:t>、虹口、商业、工程大</w:t>
            </w:r>
          </w:p>
        </w:tc>
      </w:tr>
      <w:tr w14:paraId="4B866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18A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3D75D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3103201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FF26B2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普陀分校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08822F">
            <w:pPr>
              <w:widowControl/>
              <w:jc w:val="left"/>
              <w:rPr>
                <w:rFonts w:ascii="微软雅黑" w:hAnsi="微软雅黑" w:eastAsia="微软雅黑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  <w:highlight w:val="yellow"/>
              </w:rPr>
              <w:t>普陀、黄浦、工商外、徐汇、徐汇财贸</w:t>
            </w:r>
          </w:p>
        </w:tc>
      </w:tr>
      <w:tr w14:paraId="0BA86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C89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0F41C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3109201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634533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静安分校</w:t>
            </w:r>
          </w:p>
        </w:tc>
        <w:tc>
          <w:tcPr>
            <w:tcW w:w="4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8C2562"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静安、慧承（原经管校）、百联、时尚学院（原西区分部）</w:t>
            </w:r>
          </w:p>
        </w:tc>
      </w:tr>
    </w:tbl>
    <w:p w14:paraId="5E9F21C8">
      <w:pPr>
        <w:pStyle w:val="7"/>
        <w:ind w:left="432" w:firstLine="0" w:firstLineChars="0"/>
        <w:jc w:val="left"/>
      </w:pPr>
    </w:p>
    <w:p w14:paraId="3438A604">
      <w:pPr>
        <w:ind w:firstLine="420" w:firstLineChars="200"/>
        <w:jc w:val="left"/>
        <w:rPr>
          <w:b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1D5911"/>
    <w:multiLevelType w:val="multilevel"/>
    <w:tmpl w:val="441D5911"/>
    <w:lvl w:ilvl="0" w:tentative="0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72" w:hanging="420"/>
      </w:pPr>
    </w:lvl>
    <w:lvl w:ilvl="2" w:tentative="0">
      <w:start w:val="1"/>
      <w:numFmt w:val="lowerRoman"/>
      <w:lvlText w:val="%3."/>
      <w:lvlJc w:val="right"/>
      <w:pPr>
        <w:ind w:left="1692" w:hanging="420"/>
      </w:pPr>
    </w:lvl>
    <w:lvl w:ilvl="3" w:tentative="0">
      <w:start w:val="1"/>
      <w:numFmt w:val="decimal"/>
      <w:lvlText w:val="%4."/>
      <w:lvlJc w:val="left"/>
      <w:pPr>
        <w:ind w:left="2112" w:hanging="420"/>
      </w:pPr>
    </w:lvl>
    <w:lvl w:ilvl="4" w:tentative="0">
      <w:start w:val="1"/>
      <w:numFmt w:val="lowerLetter"/>
      <w:lvlText w:val="%5)"/>
      <w:lvlJc w:val="left"/>
      <w:pPr>
        <w:ind w:left="2532" w:hanging="420"/>
      </w:pPr>
    </w:lvl>
    <w:lvl w:ilvl="5" w:tentative="0">
      <w:start w:val="1"/>
      <w:numFmt w:val="lowerRoman"/>
      <w:lvlText w:val="%6."/>
      <w:lvlJc w:val="right"/>
      <w:pPr>
        <w:ind w:left="2952" w:hanging="420"/>
      </w:pPr>
    </w:lvl>
    <w:lvl w:ilvl="6" w:tentative="0">
      <w:start w:val="1"/>
      <w:numFmt w:val="decimal"/>
      <w:lvlText w:val="%7."/>
      <w:lvlJc w:val="left"/>
      <w:pPr>
        <w:ind w:left="3372" w:hanging="420"/>
      </w:pPr>
    </w:lvl>
    <w:lvl w:ilvl="7" w:tentative="0">
      <w:start w:val="1"/>
      <w:numFmt w:val="lowerLetter"/>
      <w:lvlText w:val="%8)"/>
      <w:lvlJc w:val="left"/>
      <w:pPr>
        <w:ind w:left="3792" w:hanging="420"/>
      </w:pPr>
    </w:lvl>
    <w:lvl w:ilvl="8" w:tentative="0">
      <w:start w:val="1"/>
      <w:numFmt w:val="lowerRoman"/>
      <w:lvlText w:val="%9."/>
      <w:lvlJc w:val="right"/>
      <w:pPr>
        <w:ind w:left="4212" w:hanging="420"/>
      </w:pPr>
    </w:lvl>
  </w:abstractNum>
  <w:abstractNum w:abstractNumId="1">
    <w:nsid w:val="49B84BFB"/>
    <w:multiLevelType w:val="multilevel"/>
    <w:tmpl w:val="49B84BFB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2"/>
      <w:numFmt w:val="decimal"/>
      <w:lvlText w:val="%2、"/>
      <w:lvlJc w:val="left"/>
      <w:pPr>
        <w:ind w:left="780" w:hanging="360"/>
      </w:pPr>
      <w:rPr>
        <w:rFonts w:hint="default"/>
        <w:color w:val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YxOTA0YjJjNjlhMDM2NDM1ZWZjNDA5YmRhZTM4NjIifQ=="/>
  </w:docVars>
  <w:rsids>
    <w:rsidRoot w:val="002441AB"/>
    <w:rsid w:val="0002203A"/>
    <w:rsid w:val="00045986"/>
    <w:rsid w:val="0006591B"/>
    <w:rsid w:val="00074D1D"/>
    <w:rsid w:val="00082A24"/>
    <w:rsid w:val="000E2AE1"/>
    <w:rsid w:val="0016522F"/>
    <w:rsid w:val="002269FB"/>
    <w:rsid w:val="002441AB"/>
    <w:rsid w:val="00297300"/>
    <w:rsid w:val="002A6A31"/>
    <w:rsid w:val="003128F7"/>
    <w:rsid w:val="00357E9C"/>
    <w:rsid w:val="003609F5"/>
    <w:rsid w:val="00466008"/>
    <w:rsid w:val="00474B2D"/>
    <w:rsid w:val="00484A5F"/>
    <w:rsid w:val="004D2F7C"/>
    <w:rsid w:val="00513725"/>
    <w:rsid w:val="0053570B"/>
    <w:rsid w:val="006928F1"/>
    <w:rsid w:val="0075047E"/>
    <w:rsid w:val="007D034D"/>
    <w:rsid w:val="007E0A43"/>
    <w:rsid w:val="007E3B59"/>
    <w:rsid w:val="00841BA8"/>
    <w:rsid w:val="00906DA9"/>
    <w:rsid w:val="009E139E"/>
    <w:rsid w:val="00A11B58"/>
    <w:rsid w:val="00A228FC"/>
    <w:rsid w:val="00A80E7E"/>
    <w:rsid w:val="00AB7647"/>
    <w:rsid w:val="00AE005F"/>
    <w:rsid w:val="00C91256"/>
    <w:rsid w:val="00E1397E"/>
    <w:rsid w:val="00E14944"/>
    <w:rsid w:val="00E85418"/>
    <w:rsid w:val="00F73FE9"/>
    <w:rsid w:val="0A052B89"/>
    <w:rsid w:val="3E8B1D5F"/>
    <w:rsid w:val="46BA1434"/>
    <w:rsid w:val="480A1F47"/>
    <w:rsid w:val="4E0D453F"/>
    <w:rsid w:val="6557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1"/>
    <w:pPr>
      <w:ind w:firstLine="420" w:firstLineChars="200"/>
    </w:pPr>
  </w:style>
  <w:style w:type="character" w:customStyle="1" w:styleId="8">
    <w:name w:val="正文文本 字符"/>
    <w:basedOn w:val="6"/>
    <w:link w:val="2"/>
    <w:uiPriority w:val="1"/>
    <w:rPr>
      <w:rFonts w:ascii="宋体" w:hAnsi="Times New Roman" w:eastAsia="宋体" w:cs="宋体"/>
      <w:kern w:val="0"/>
      <w:sz w:val="24"/>
      <w:szCs w:val="24"/>
    </w:r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71598-673D-44FE-BF49-E554A5753F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1214</Words>
  <Characters>1312</Characters>
  <Lines>10</Lines>
  <Paragraphs>2</Paragraphs>
  <TotalTime>0</TotalTime>
  <ScaleCrop>false</ScaleCrop>
  <LinksUpToDate>false</LinksUpToDate>
  <CharactersWithSpaces>1314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2024-10-22T06:32:00Z</dcterms:created>
  <dc:creator>薛峰</dc:creator>
  <cp:lastModifiedBy>王彤</cp:lastModifiedBy>
  <dcterms:modified xsi:type="dcterms:W3CDTF">2024-10-22T08:23:06Z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603CEEB98FC942319F912B715B19AFF0_13</vt:lpwstr>
  </property>
</Properties>
</file>